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7DF2" w14:textId="77777777" w:rsidR="00405697" w:rsidRPr="00F544EC" w:rsidRDefault="00405697" w:rsidP="00405697">
      <w:pPr>
        <w:pStyle w:val="Ttulo1"/>
        <w:ind w:left="360"/>
      </w:pPr>
      <w:bookmarkStart w:id="0" w:name="_Toc256000007"/>
      <w:bookmarkStart w:id="1" w:name="_Toc510270038"/>
      <w:r>
        <w:t>El juicio sumarísimo.</w:t>
      </w:r>
      <w:bookmarkEnd w:id="0"/>
      <w:bookmarkEnd w:id="1"/>
    </w:p>
    <w:p w14:paraId="01A97EBD" w14:textId="77777777" w:rsidR="00405697" w:rsidRPr="00C47362" w:rsidRDefault="00405697" w:rsidP="00405697">
      <w:pPr>
        <w:jc w:val="both"/>
        <w:rPr>
          <w:rFonts w:eastAsia="Times New Roman"/>
          <w:sz w:val="24"/>
          <w:lang w:eastAsia="es-ES"/>
        </w:rPr>
      </w:pPr>
    </w:p>
    <w:p w14:paraId="5E6FD99F" w14:textId="77777777" w:rsidR="00405697" w:rsidRDefault="00405697" w:rsidP="00405697">
      <w:pPr>
        <w:jc w:val="both"/>
        <w:rPr>
          <w:rFonts w:eastAsia="Times New Roman"/>
          <w:sz w:val="24"/>
          <w:lang w:eastAsia="es-ES"/>
        </w:rPr>
      </w:pPr>
      <w:r>
        <w:rPr>
          <w:rFonts w:eastAsia="Times New Roman"/>
          <w:sz w:val="24"/>
          <w:lang w:eastAsia="es-ES"/>
        </w:rPr>
        <w:t xml:space="preserve">En agosto de 1939, se inicia el proceso sumarísimo, número 1946, contra Enrique. </w:t>
      </w:r>
    </w:p>
    <w:p w14:paraId="03FC951D" w14:textId="77777777" w:rsidR="00405697" w:rsidRDefault="00405697" w:rsidP="00405697">
      <w:pPr>
        <w:jc w:val="both"/>
        <w:rPr>
          <w:rFonts w:eastAsia="Times New Roman"/>
          <w:sz w:val="24"/>
          <w:lang w:eastAsia="es-ES"/>
        </w:rPr>
      </w:pPr>
      <w:r>
        <w:rPr>
          <w:rFonts w:eastAsia="Times New Roman"/>
          <w:sz w:val="24"/>
          <w:lang w:eastAsia="es-ES"/>
        </w:rPr>
        <w:t>En un primer momento podría parecer hasta lógico y normal la existencia de los juicios sumarísimos, incluso en el caso de que hubiera terminado la contienda. Pero en realidad, este tipo de actuaciones constituyen una anomalía jurídica y legal que conviene aclarar, siquiera someramente.</w:t>
      </w:r>
    </w:p>
    <w:p w14:paraId="0BF12B24" w14:textId="77777777" w:rsidR="00405697" w:rsidRDefault="00405697" w:rsidP="00405697">
      <w:pPr>
        <w:jc w:val="both"/>
        <w:rPr>
          <w:rFonts w:eastAsia="Times New Roman"/>
          <w:sz w:val="24"/>
          <w:lang w:eastAsia="es-ES"/>
        </w:rPr>
      </w:pPr>
      <w:r>
        <w:rPr>
          <w:rFonts w:eastAsia="Times New Roman"/>
          <w:sz w:val="24"/>
          <w:lang w:eastAsia="es-ES"/>
        </w:rPr>
        <w:t xml:space="preserve">En primer </w:t>
      </w:r>
      <w:proofErr w:type="gramStart"/>
      <w:r>
        <w:rPr>
          <w:rFonts w:eastAsia="Times New Roman"/>
          <w:sz w:val="24"/>
          <w:lang w:eastAsia="es-ES"/>
        </w:rPr>
        <w:t>lugar</w:t>
      </w:r>
      <w:proofErr w:type="gramEnd"/>
      <w:r>
        <w:rPr>
          <w:rFonts w:eastAsia="Times New Roman"/>
          <w:sz w:val="24"/>
          <w:lang w:eastAsia="es-ES"/>
        </w:rPr>
        <w:t xml:space="preserve"> cabe señalar que l</w:t>
      </w:r>
      <w:r w:rsidRPr="001F15D4">
        <w:rPr>
          <w:rFonts w:eastAsia="Times New Roman"/>
          <w:sz w:val="24"/>
          <w:lang w:eastAsia="es-ES"/>
        </w:rPr>
        <w:t>a supremacía jurídica de una jurisdicción militar que conocía de toda clase de causas</w:t>
      </w:r>
      <w:r>
        <w:rPr>
          <w:rFonts w:eastAsia="Times New Roman"/>
          <w:sz w:val="24"/>
          <w:lang w:eastAsia="es-ES"/>
        </w:rPr>
        <w:t>,</w:t>
      </w:r>
      <w:r w:rsidRPr="001F15D4">
        <w:rPr>
          <w:rFonts w:eastAsia="Times New Roman"/>
          <w:sz w:val="24"/>
          <w:lang w:eastAsia="es-ES"/>
        </w:rPr>
        <w:t xml:space="preserve"> fue instaurada por la declaración nacional del Estado de Guerra el 28 de julio de 1936</w:t>
      </w:r>
      <w:r>
        <w:rPr>
          <w:rFonts w:eastAsia="Times New Roman"/>
          <w:sz w:val="24"/>
          <w:lang w:eastAsia="es-ES"/>
        </w:rPr>
        <w:t xml:space="preserve"> </w:t>
      </w:r>
      <w:r w:rsidRPr="001F15D4">
        <w:rPr>
          <w:rFonts w:eastAsia="Times New Roman"/>
          <w:sz w:val="16"/>
          <w:szCs w:val="16"/>
          <w:lang w:eastAsia="es-ES"/>
        </w:rPr>
        <w:t>(</w:t>
      </w:r>
      <w:r>
        <w:rPr>
          <w:rStyle w:val="Refdenotaalpie"/>
          <w:rFonts w:eastAsia="Times New Roman"/>
          <w:sz w:val="16"/>
          <w:szCs w:val="16"/>
          <w:lang w:eastAsia="es-ES"/>
        </w:rPr>
        <w:footnoteReference w:id="1"/>
      </w:r>
      <w:r w:rsidRPr="001F15D4">
        <w:rPr>
          <w:rFonts w:eastAsia="Times New Roman"/>
          <w:sz w:val="16"/>
          <w:szCs w:val="16"/>
          <w:lang w:eastAsia="es-ES"/>
        </w:rPr>
        <w:t>)</w:t>
      </w:r>
      <w:r>
        <w:rPr>
          <w:rFonts w:eastAsia="Times New Roman"/>
          <w:sz w:val="16"/>
          <w:szCs w:val="16"/>
          <w:lang w:eastAsia="es-ES"/>
        </w:rPr>
        <w:t xml:space="preserve">.  </w:t>
      </w:r>
      <w:r w:rsidRPr="00AB5CC0">
        <w:rPr>
          <w:rFonts w:eastAsia="Times New Roman"/>
          <w:sz w:val="24"/>
          <w:lang w:eastAsia="es-ES"/>
        </w:rPr>
        <w:t>Este bando</w:t>
      </w:r>
      <w:r>
        <w:rPr>
          <w:rFonts w:eastAsia="Times New Roman"/>
          <w:sz w:val="24"/>
          <w:lang w:eastAsia="es-ES"/>
        </w:rPr>
        <w:t xml:space="preserve">, promulgado por la </w:t>
      </w:r>
      <w:r w:rsidRPr="00AB5CC0">
        <w:rPr>
          <w:rFonts w:eastAsia="Times New Roman"/>
          <w:sz w:val="24"/>
          <w:lang w:eastAsia="es-ES"/>
        </w:rPr>
        <w:t>Junta de Defensa Naciona</w:t>
      </w:r>
      <w:r>
        <w:rPr>
          <w:rFonts w:eastAsia="Times New Roman"/>
          <w:sz w:val="24"/>
          <w:lang w:eastAsia="es-ES"/>
        </w:rPr>
        <w:t>l,</w:t>
      </w:r>
      <w:r w:rsidRPr="00AB5CC0">
        <w:rPr>
          <w:rFonts w:eastAsia="Times New Roman"/>
          <w:sz w:val="24"/>
          <w:lang w:eastAsia="es-ES"/>
        </w:rPr>
        <w:t xml:space="preserve"> amplió el estado de guerra a todo el territorio</w:t>
      </w:r>
      <w:r>
        <w:rPr>
          <w:rFonts w:eastAsia="Times New Roman"/>
          <w:sz w:val="24"/>
          <w:lang w:eastAsia="es-ES"/>
        </w:rPr>
        <w:t xml:space="preserve"> que estaba </w:t>
      </w:r>
      <w:r w:rsidRPr="00AB5CC0">
        <w:rPr>
          <w:rFonts w:eastAsia="Times New Roman"/>
          <w:sz w:val="24"/>
          <w:lang w:eastAsia="es-ES"/>
        </w:rPr>
        <w:t>en manos de los rebeldes, y situó el derecho militar por encima del derecho civil</w:t>
      </w:r>
      <w:r>
        <w:rPr>
          <w:rFonts w:eastAsia="Times New Roman"/>
          <w:sz w:val="24"/>
          <w:lang w:eastAsia="es-ES"/>
        </w:rPr>
        <w:t xml:space="preserve"> </w:t>
      </w:r>
      <w:r w:rsidRPr="00AB5CC0">
        <w:rPr>
          <w:rFonts w:eastAsia="Times New Roman"/>
          <w:sz w:val="16"/>
          <w:szCs w:val="16"/>
          <w:lang w:eastAsia="es-ES"/>
        </w:rPr>
        <w:t>(</w:t>
      </w:r>
      <w:r>
        <w:rPr>
          <w:rStyle w:val="Refdenotaalpie"/>
          <w:rFonts w:eastAsia="Times New Roman"/>
          <w:sz w:val="16"/>
          <w:szCs w:val="16"/>
          <w:lang w:eastAsia="es-ES"/>
        </w:rPr>
        <w:footnoteReference w:id="2"/>
      </w:r>
      <w:r w:rsidRPr="00AB5CC0">
        <w:rPr>
          <w:rFonts w:eastAsia="Times New Roman"/>
          <w:sz w:val="16"/>
          <w:szCs w:val="16"/>
          <w:lang w:eastAsia="es-ES"/>
        </w:rPr>
        <w:t>)</w:t>
      </w:r>
      <w:r w:rsidRPr="00AB5CC0">
        <w:rPr>
          <w:rFonts w:eastAsia="Times New Roman"/>
          <w:sz w:val="24"/>
          <w:lang w:eastAsia="es-ES"/>
        </w:rPr>
        <w:t>.</w:t>
      </w:r>
      <w:r>
        <w:rPr>
          <w:rFonts w:eastAsia="Times New Roman"/>
          <w:sz w:val="24"/>
          <w:lang w:eastAsia="es-ES"/>
        </w:rPr>
        <w:t xml:space="preserve"> </w:t>
      </w:r>
    </w:p>
    <w:p w14:paraId="3E10C0FF" w14:textId="77777777" w:rsidR="00405697" w:rsidRDefault="00405697" w:rsidP="00405697">
      <w:pPr>
        <w:jc w:val="both"/>
        <w:rPr>
          <w:rFonts w:eastAsia="Times New Roman"/>
          <w:sz w:val="16"/>
          <w:szCs w:val="16"/>
          <w:lang w:eastAsia="es-ES"/>
        </w:rPr>
      </w:pPr>
      <w:r w:rsidRPr="00AB5CC0">
        <w:rPr>
          <w:rFonts w:eastAsia="Times New Roman"/>
          <w:sz w:val="24"/>
          <w:lang w:eastAsia="es-ES"/>
        </w:rPr>
        <w:t>Pero el elemento fundamental de la justicia militar del primer franquismo es el Código de Justicia Militar de 1890, como base jurídica donde se establece el procedimiento, competencia y el articulado donde se apoya la base legal del delito de rebelión</w:t>
      </w:r>
      <w:r>
        <w:rPr>
          <w:rFonts w:eastAsia="Times New Roman"/>
          <w:sz w:val="24"/>
          <w:lang w:eastAsia="es-ES"/>
        </w:rPr>
        <w:t xml:space="preserve">. </w:t>
      </w:r>
      <w:r w:rsidRPr="00097218">
        <w:rPr>
          <w:rFonts w:eastAsia="Times New Roman"/>
          <w:sz w:val="16"/>
          <w:szCs w:val="16"/>
          <w:lang w:eastAsia="es-ES"/>
        </w:rPr>
        <w:t>(</w:t>
      </w:r>
      <w:r>
        <w:rPr>
          <w:rStyle w:val="Refdenotaalpie"/>
          <w:rFonts w:eastAsia="Times New Roman"/>
          <w:sz w:val="16"/>
          <w:szCs w:val="16"/>
          <w:lang w:eastAsia="es-ES"/>
        </w:rPr>
        <w:footnoteReference w:id="3"/>
      </w:r>
      <w:r w:rsidRPr="00097218">
        <w:rPr>
          <w:rFonts w:eastAsia="Times New Roman"/>
          <w:sz w:val="16"/>
          <w:szCs w:val="16"/>
          <w:lang w:eastAsia="es-ES"/>
        </w:rPr>
        <w:t>)</w:t>
      </w:r>
    </w:p>
    <w:p w14:paraId="23C8C3F7" w14:textId="77777777" w:rsidR="00405697" w:rsidRDefault="00405697" w:rsidP="00405697">
      <w:pPr>
        <w:jc w:val="both"/>
        <w:rPr>
          <w:rFonts w:eastAsia="Times New Roman"/>
          <w:sz w:val="24"/>
          <w:lang w:eastAsia="es-ES"/>
        </w:rPr>
      </w:pPr>
      <w:r>
        <w:rPr>
          <w:rFonts w:eastAsia="Times New Roman"/>
          <w:sz w:val="24"/>
          <w:lang w:eastAsia="es-ES"/>
        </w:rPr>
        <w:t>Al parecer, los artífices de la Nueva España, estaban obsesionados con vender la imagen de que su golpe de estado, no fue tal, sino una suerte de redención, invocada por fuerzas superiores y bendecido por la Iglesia. En pocas palabras, tenían que dar la imagen de que el golpe de estado, era legal. O lo que se le pareciera más.</w:t>
      </w:r>
    </w:p>
    <w:p w14:paraId="68129F96" w14:textId="77777777" w:rsidR="00405697" w:rsidRDefault="00405697" w:rsidP="00405697">
      <w:pPr>
        <w:jc w:val="both"/>
        <w:rPr>
          <w:rFonts w:eastAsia="Times New Roman"/>
          <w:sz w:val="24"/>
          <w:lang w:eastAsia="es-ES"/>
        </w:rPr>
      </w:pPr>
      <w:r>
        <w:rPr>
          <w:rFonts w:eastAsia="Times New Roman"/>
          <w:sz w:val="24"/>
          <w:lang w:eastAsia="es-ES"/>
        </w:rPr>
        <w:t>Para ello, urdieron una serie de estratagemas legales, que en su conjunto suponen una auténtica aberración jurídica, incluyendo doctrinas con efecto retroactivo y aplicando principios que en su momento no existían y que se inventaron sobre la marcha.</w:t>
      </w:r>
    </w:p>
    <w:p w14:paraId="2D813AEC" w14:textId="77777777" w:rsidR="00405697" w:rsidRDefault="00405697" w:rsidP="00405697">
      <w:pPr>
        <w:jc w:val="both"/>
        <w:rPr>
          <w:rFonts w:eastAsia="Times New Roman"/>
          <w:sz w:val="24"/>
          <w:lang w:eastAsia="es-ES"/>
        </w:rPr>
      </w:pPr>
      <w:r>
        <w:rPr>
          <w:rFonts w:eastAsia="Times New Roman"/>
          <w:sz w:val="24"/>
          <w:lang w:eastAsia="es-ES"/>
        </w:rPr>
        <w:t>Baste sólo un ejemplo para ilustrar esta obsesión y las atrocidades jurídicas y legales -auténticamente kafkianas - que llevaron a cabo para intentar justificar su sublevación.</w:t>
      </w:r>
    </w:p>
    <w:p w14:paraId="51BE4C1F" w14:textId="77777777" w:rsidR="00405697" w:rsidRDefault="00405697" w:rsidP="00405697">
      <w:pPr>
        <w:jc w:val="both"/>
        <w:rPr>
          <w:rFonts w:eastAsia="Times New Roman"/>
          <w:sz w:val="24"/>
          <w:lang w:eastAsia="es-ES"/>
        </w:rPr>
      </w:pPr>
      <w:r w:rsidRPr="005F1F9E">
        <w:rPr>
          <w:rFonts w:eastAsia="Times New Roman"/>
          <w:sz w:val="24"/>
          <w:lang w:eastAsia="es-ES"/>
        </w:rPr>
        <w:t xml:space="preserve">El 22 de diciembre de 1938, el día antes de que diera comienzo la ofensiva final de los franquistas en Cataluña, Ramón Serrano Suñer, cuñado de Franco y ministro del Interior, anunció el nombramiento de una comisión especial. </w:t>
      </w:r>
    </w:p>
    <w:p w14:paraId="0C7B19AE" w14:textId="77777777" w:rsidR="00405697" w:rsidRDefault="00405697" w:rsidP="00405697">
      <w:pPr>
        <w:jc w:val="both"/>
        <w:rPr>
          <w:rFonts w:eastAsia="Times New Roman"/>
          <w:sz w:val="24"/>
          <w:lang w:eastAsia="es-ES"/>
        </w:rPr>
      </w:pPr>
      <w:r w:rsidRPr="005F1F9E">
        <w:rPr>
          <w:rFonts w:eastAsia="Times New Roman"/>
          <w:sz w:val="24"/>
          <w:lang w:eastAsia="es-ES"/>
        </w:rPr>
        <w:t xml:space="preserve">Presidida por Ildefonso Bellón, presidente del Tribunal Supremo de los franquistas, sus veintidós miembros, entre los que se incluían quince ex diputados a Cortes y diez ex ministros, reflejaban la diversidad de la derecha española en la Guerra Civil. </w:t>
      </w:r>
    </w:p>
    <w:p w14:paraId="6994E892" w14:textId="77777777" w:rsidR="00405697" w:rsidRPr="005F1F9E" w:rsidRDefault="00405697" w:rsidP="00405697">
      <w:pPr>
        <w:jc w:val="both"/>
        <w:rPr>
          <w:rFonts w:eastAsia="Times New Roman"/>
          <w:sz w:val="16"/>
          <w:szCs w:val="16"/>
          <w:lang w:eastAsia="es-ES"/>
        </w:rPr>
      </w:pPr>
      <w:r w:rsidRPr="005F1F9E">
        <w:rPr>
          <w:rFonts w:eastAsia="Times New Roman"/>
          <w:sz w:val="24"/>
          <w:lang w:eastAsia="es-ES"/>
        </w:rPr>
        <w:t xml:space="preserve">La Falange estaba representada por un «camisa vieja», Rafael Garcerán; el ejército, por un capitán de su cuerpo jurídico, José Luis Palau; y los carlistas, por su portavoz de educación primaria durante la República, Romualdo de Toledo y Robles. No se olvidó a </w:t>
      </w:r>
      <w:r w:rsidRPr="005F1F9E">
        <w:rPr>
          <w:rFonts w:eastAsia="Times New Roman"/>
          <w:sz w:val="24"/>
          <w:lang w:eastAsia="es-ES"/>
        </w:rPr>
        <w:lastRenderedPageBreak/>
        <w:t xml:space="preserve">los monárquicos alfonsinos: Antonio Goicoechea, exlíder de Renovación Española, también había sido nombrado miembro de aquella comisión. Algunos provenían de la CEDA: era el caso de Rafael </w:t>
      </w:r>
      <w:proofErr w:type="spellStart"/>
      <w:r w:rsidRPr="005F1F9E">
        <w:rPr>
          <w:rFonts w:eastAsia="Times New Roman"/>
          <w:sz w:val="24"/>
          <w:lang w:eastAsia="es-ES"/>
        </w:rPr>
        <w:t>Aizpún</w:t>
      </w:r>
      <w:proofErr w:type="spellEnd"/>
      <w:r w:rsidRPr="005F1F9E">
        <w:rPr>
          <w:rFonts w:eastAsia="Times New Roman"/>
          <w:sz w:val="24"/>
          <w:lang w:eastAsia="es-ES"/>
        </w:rPr>
        <w:t xml:space="preserve"> Santafé, quien había sido protagonista de uno de los tres nombramientos ministeriales que provocaron la insurrección socialista de octubre de 1934. Otros, como Eduardo Aunós, habían ejercido cargos de responsabilidad en los años veinte bajo la dictadura de Primo de Rivera. No obstante, la figura más distinguida de la Comisión Bellón era, sin duda, la de Álvaro de Figueroa y Torres, conde de Romanones. Tres veces primer ministro durante el sistema constitucional liberal abolido por Primo de Rivera en 1923, Romanones se había vuelto un apasionado partidario de Franco durante la Guerra Civil. </w:t>
      </w:r>
      <w:r w:rsidRPr="005F1F9E">
        <w:rPr>
          <w:rFonts w:eastAsia="Times New Roman"/>
          <w:sz w:val="16"/>
          <w:szCs w:val="16"/>
          <w:lang w:eastAsia="es-ES"/>
        </w:rPr>
        <w:t>(</w:t>
      </w:r>
      <w:r>
        <w:rPr>
          <w:rFonts w:eastAsia="Times New Roman"/>
          <w:sz w:val="16"/>
          <w:szCs w:val="16"/>
          <w:lang w:eastAsia="es-ES"/>
        </w:rPr>
        <w:footnoteReference w:id="4"/>
      </w:r>
      <w:r w:rsidRPr="005F1F9E">
        <w:rPr>
          <w:rFonts w:eastAsia="Times New Roman"/>
          <w:sz w:val="16"/>
          <w:szCs w:val="16"/>
          <w:lang w:eastAsia="es-ES"/>
        </w:rPr>
        <w:t>)</w:t>
      </w:r>
    </w:p>
    <w:p w14:paraId="10AB2A5E" w14:textId="77777777" w:rsidR="00405697" w:rsidRDefault="00405697" w:rsidP="00405697">
      <w:pPr>
        <w:jc w:val="both"/>
        <w:rPr>
          <w:rFonts w:eastAsia="Times New Roman"/>
          <w:sz w:val="24"/>
          <w:lang w:eastAsia="es-ES"/>
        </w:rPr>
      </w:pPr>
      <w:r>
        <w:rPr>
          <w:rFonts w:eastAsia="Times New Roman"/>
          <w:sz w:val="24"/>
          <w:lang w:eastAsia="es-ES"/>
        </w:rPr>
        <w:t xml:space="preserve">La tarea que el cuñadísimo encargó a la Comisión, en su opinión, no era ni difícil ni compleja. Se trataba, simplemente de “demostrar plenamente” la </w:t>
      </w:r>
      <w:r w:rsidRPr="00080D4A">
        <w:rPr>
          <w:rFonts w:eastAsia="Times New Roman"/>
          <w:sz w:val="24"/>
          <w:lang w:eastAsia="es-ES"/>
        </w:rPr>
        <w:t>ilegitimidad de los poderes actuantes en la República española el 18 de julio de 1936». Dicho de otro modo, lo que se esperaba de ella era que probara que quien se había sublevado en julio de 1936 había sido el gobierno republicano elegido democráticamente, y no el ejército</w:t>
      </w:r>
      <w:r>
        <w:rPr>
          <w:rFonts w:eastAsia="Times New Roman"/>
          <w:sz w:val="24"/>
          <w:lang w:eastAsia="es-ES"/>
        </w:rPr>
        <w:t xml:space="preserve"> de Franco. </w:t>
      </w:r>
    </w:p>
    <w:p w14:paraId="11851F42" w14:textId="77777777" w:rsidR="00405697" w:rsidRDefault="00405697" w:rsidP="00405697">
      <w:pPr>
        <w:jc w:val="both"/>
        <w:rPr>
          <w:rFonts w:eastAsia="Times New Roman"/>
          <w:sz w:val="24"/>
          <w:lang w:eastAsia="es-ES"/>
        </w:rPr>
      </w:pPr>
      <w:r>
        <w:rPr>
          <w:rFonts w:eastAsia="Times New Roman"/>
          <w:sz w:val="24"/>
          <w:lang w:eastAsia="es-ES"/>
        </w:rPr>
        <w:t>Serrano Suñer, estaba tan convencido del resultado de los trabajos de la Comisión, que les dio un plazo inferior a 6 semanas para presentar sus conclusiones. Aunque la presentación formal se realizó ligeramente más tarde de lo previsto (15 de febrero de 1939), las conclusiones no defraudaron a su promotor. Como no podía ser de otra manera.</w:t>
      </w:r>
    </w:p>
    <w:p w14:paraId="3B0CE8EA" w14:textId="77777777" w:rsidR="00405697" w:rsidRDefault="00405697" w:rsidP="00405697">
      <w:pPr>
        <w:jc w:val="both"/>
        <w:rPr>
          <w:rFonts w:eastAsia="Times New Roman"/>
          <w:sz w:val="24"/>
          <w:lang w:eastAsia="es-ES"/>
        </w:rPr>
      </w:pPr>
      <w:r>
        <w:rPr>
          <w:rFonts w:eastAsia="Times New Roman"/>
          <w:sz w:val="24"/>
          <w:lang w:eastAsia="es-ES"/>
        </w:rPr>
        <w:t>Lo que se afirmaba en aquel informe era que la actuación de los golpistas, no podía ser calificada jamás de rebeldía, ya que el gobierno de la República era sustancial y fundamentalmente, ilegítimo.</w:t>
      </w:r>
    </w:p>
    <w:p w14:paraId="79502CD9" w14:textId="77777777" w:rsidR="00405697" w:rsidRDefault="00405697" w:rsidP="00405697">
      <w:pPr>
        <w:jc w:val="both"/>
        <w:rPr>
          <w:rFonts w:eastAsia="Times New Roman"/>
          <w:sz w:val="24"/>
          <w:lang w:eastAsia="es-ES"/>
        </w:rPr>
      </w:pPr>
      <w:r>
        <w:rPr>
          <w:rFonts w:eastAsia="Times New Roman"/>
          <w:sz w:val="24"/>
          <w:lang w:eastAsia="es-ES"/>
        </w:rPr>
        <w:t>Para llegar a esta conclusión, continuaba el informe, se llegó a cuestionar la legitimidad de la República como consecuencia de las elecciones de 1931, en las que los monárquicos vencieron en las urnas, asegurando que el Frente Popular, habría falseado los resultados de las elecciones. Según este informe, de no haberse producido esta manipulación, la derecha habría ganado por unos 400.000 votos de diferencia.</w:t>
      </w:r>
    </w:p>
    <w:p w14:paraId="13D58ADA" w14:textId="77777777" w:rsidR="00405697" w:rsidRDefault="00405697" w:rsidP="00405697">
      <w:pPr>
        <w:jc w:val="both"/>
        <w:rPr>
          <w:rFonts w:eastAsia="Times New Roman"/>
          <w:sz w:val="24"/>
          <w:lang w:eastAsia="es-ES"/>
        </w:rPr>
      </w:pPr>
      <w:r>
        <w:rPr>
          <w:rFonts w:eastAsia="Times New Roman"/>
          <w:sz w:val="24"/>
          <w:lang w:eastAsia="es-ES"/>
        </w:rPr>
        <w:t>A lo largo de sus cien páginas, el resto de “argumentos” intentaban demostrar que el gobierno republicano era esencialmente criminal y por tanto la intervención del ejército, sólo podía ser contemplada como redentora. Y como redentores, por tanto, tenían una capacidad omnímoda sobre la vida…y la muerte.</w:t>
      </w:r>
    </w:p>
    <w:p w14:paraId="023C9727" w14:textId="77777777" w:rsidR="00405697" w:rsidRDefault="00405697" w:rsidP="00405697">
      <w:pPr>
        <w:jc w:val="both"/>
        <w:rPr>
          <w:rFonts w:eastAsia="Times New Roman"/>
          <w:sz w:val="24"/>
          <w:lang w:eastAsia="es-ES"/>
        </w:rPr>
      </w:pPr>
      <w:r>
        <w:rPr>
          <w:rFonts w:eastAsia="Times New Roman"/>
          <w:sz w:val="24"/>
          <w:lang w:eastAsia="es-ES"/>
        </w:rPr>
        <w:t>Y así llegamos a los juicios sumarísimos. Por ejemplo.</w:t>
      </w:r>
    </w:p>
    <w:p w14:paraId="697F715B" w14:textId="77777777" w:rsidR="00405697" w:rsidRDefault="00405697" w:rsidP="00405697">
      <w:pPr>
        <w:jc w:val="both"/>
        <w:rPr>
          <w:rFonts w:eastAsia="Times New Roman"/>
          <w:sz w:val="24"/>
          <w:lang w:eastAsia="es-ES"/>
        </w:rPr>
      </w:pPr>
      <w:r>
        <w:rPr>
          <w:rFonts w:eastAsia="Times New Roman"/>
          <w:sz w:val="24"/>
          <w:lang w:eastAsia="es-ES"/>
        </w:rPr>
        <w:t xml:space="preserve">El Juez Instructor del caso de Enrique, sería D. Manuel Artime Prieto, quien </w:t>
      </w:r>
      <w:r w:rsidRPr="009A3B02">
        <w:rPr>
          <w:rFonts w:eastAsia="Times New Roman"/>
          <w:sz w:val="24"/>
          <w:lang w:eastAsia="es-ES"/>
        </w:rPr>
        <w:t>el 24</w:t>
      </w:r>
      <w:r>
        <w:rPr>
          <w:rFonts w:eastAsia="Times New Roman"/>
          <w:sz w:val="24"/>
          <w:lang w:eastAsia="es-ES"/>
        </w:rPr>
        <w:t xml:space="preserve"> de junio de </w:t>
      </w:r>
      <w:r w:rsidRPr="009A3B02">
        <w:rPr>
          <w:rFonts w:eastAsia="Times New Roman"/>
          <w:sz w:val="24"/>
          <w:lang w:eastAsia="es-ES"/>
        </w:rPr>
        <w:t>1936 aprobó las oposiciones al Cuerpo de Aspirantes a Judicatura con el número 78 de 111.</w:t>
      </w:r>
      <w:r>
        <w:rPr>
          <w:rFonts w:eastAsia="Times New Roman"/>
          <w:sz w:val="24"/>
          <w:lang w:eastAsia="es-ES"/>
        </w:rPr>
        <w:t xml:space="preserve"> Es decir, que era un pipiolo y al parecer no muy listo, lo cual no fue un obstáculo para que posteriormente desarrollara una exitosa carrera profesional que le llevó desde juzgados de primera instancia y diversos puestos relacionados con el mundo </w:t>
      </w:r>
      <w:r>
        <w:rPr>
          <w:rFonts w:eastAsia="Times New Roman"/>
          <w:sz w:val="24"/>
          <w:lang w:eastAsia="es-ES"/>
        </w:rPr>
        <w:lastRenderedPageBreak/>
        <w:t xml:space="preserve">laboral, mutualidades y montepíos, hasta su nombramiento, el </w:t>
      </w:r>
      <w:r w:rsidRPr="009A3B02">
        <w:rPr>
          <w:rFonts w:eastAsia="Times New Roman"/>
          <w:sz w:val="24"/>
          <w:lang w:eastAsia="es-ES"/>
        </w:rPr>
        <w:t>16 de marzo de 1956</w:t>
      </w:r>
      <w:r>
        <w:rPr>
          <w:rFonts w:eastAsia="Times New Roman"/>
          <w:sz w:val="24"/>
          <w:lang w:eastAsia="es-ES"/>
        </w:rPr>
        <w:t>,</w:t>
      </w:r>
      <w:r w:rsidRPr="009A3B02">
        <w:rPr>
          <w:rFonts w:eastAsia="Times New Roman"/>
          <w:sz w:val="24"/>
          <w:lang w:eastAsia="es-ES"/>
        </w:rPr>
        <w:t xml:space="preserve"> para la plaza de Magistrado de la Audiencia Territorial de La Coruña</w:t>
      </w:r>
      <w:r>
        <w:rPr>
          <w:rFonts w:eastAsia="Times New Roman"/>
          <w:sz w:val="24"/>
          <w:lang w:eastAsia="es-ES"/>
        </w:rPr>
        <w:t>.</w:t>
      </w:r>
      <w:r w:rsidRPr="009A3B02">
        <w:rPr>
          <w:rFonts w:eastAsia="Times New Roman"/>
          <w:sz w:val="24"/>
          <w:lang w:eastAsia="es-ES"/>
        </w:rPr>
        <w:t xml:space="preserve"> </w:t>
      </w:r>
    </w:p>
    <w:p w14:paraId="592CA71F" w14:textId="77777777" w:rsidR="00405697" w:rsidRDefault="00405697" w:rsidP="00405697">
      <w:pPr>
        <w:jc w:val="both"/>
        <w:rPr>
          <w:rFonts w:eastAsia="Times New Roman"/>
          <w:sz w:val="24"/>
          <w:lang w:eastAsia="es-ES"/>
        </w:rPr>
      </w:pPr>
      <w:r>
        <w:rPr>
          <w:rFonts w:eastAsia="Times New Roman"/>
          <w:sz w:val="24"/>
          <w:lang w:eastAsia="es-ES"/>
        </w:rPr>
        <w:t xml:space="preserve">Como anécdota cabe resaltar que el </w:t>
      </w:r>
      <w:r w:rsidRPr="00536AB0">
        <w:rPr>
          <w:rFonts w:eastAsia="Times New Roman"/>
          <w:sz w:val="24"/>
          <w:lang w:eastAsia="es-ES"/>
        </w:rPr>
        <w:t>30</w:t>
      </w:r>
      <w:r>
        <w:rPr>
          <w:rFonts w:eastAsia="Times New Roman"/>
          <w:sz w:val="24"/>
          <w:lang w:eastAsia="es-ES"/>
        </w:rPr>
        <w:t xml:space="preserve"> de agosto de </w:t>
      </w:r>
      <w:r w:rsidRPr="00536AB0">
        <w:rPr>
          <w:rFonts w:eastAsia="Times New Roman"/>
          <w:sz w:val="24"/>
          <w:lang w:eastAsia="es-ES"/>
        </w:rPr>
        <w:t>1969</w:t>
      </w:r>
      <w:r>
        <w:rPr>
          <w:rFonts w:eastAsia="Times New Roman"/>
          <w:sz w:val="24"/>
          <w:lang w:eastAsia="es-ES"/>
        </w:rPr>
        <w:t>,</w:t>
      </w:r>
      <w:r w:rsidRPr="00536AB0">
        <w:rPr>
          <w:rFonts w:eastAsia="Times New Roman"/>
          <w:sz w:val="24"/>
          <w:lang w:eastAsia="es-ES"/>
        </w:rPr>
        <w:t xml:space="preserve"> Franco</w:t>
      </w:r>
      <w:r>
        <w:rPr>
          <w:rFonts w:eastAsia="Times New Roman"/>
          <w:sz w:val="24"/>
          <w:lang w:eastAsia="es-ES"/>
        </w:rPr>
        <w:t>,</w:t>
      </w:r>
      <w:r w:rsidRPr="00536AB0">
        <w:rPr>
          <w:rFonts w:eastAsia="Times New Roman"/>
          <w:sz w:val="24"/>
          <w:lang w:eastAsia="es-ES"/>
        </w:rPr>
        <w:t xml:space="preserve"> recibió en el Pazo de </w:t>
      </w:r>
      <w:proofErr w:type="spellStart"/>
      <w:r w:rsidRPr="00536AB0">
        <w:rPr>
          <w:rFonts w:eastAsia="Times New Roman"/>
          <w:sz w:val="24"/>
          <w:lang w:eastAsia="es-ES"/>
        </w:rPr>
        <w:t>Meirás</w:t>
      </w:r>
      <w:proofErr w:type="spellEnd"/>
      <w:r w:rsidRPr="00536AB0">
        <w:rPr>
          <w:rFonts w:eastAsia="Times New Roman"/>
          <w:sz w:val="24"/>
          <w:lang w:eastAsia="es-ES"/>
        </w:rPr>
        <w:t xml:space="preserve"> a la Comisión de la Junta Provincial de la Hermandad de Alféreces Provisionales de La Coruña, presidida por </w:t>
      </w:r>
      <w:r>
        <w:rPr>
          <w:rFonts w:eastAsia="Times New Roman"/>
          <w:sz w:val="24"/>
          <w:lang w:eastAsia="es-ES"/>
        </w:rPr>
        <w:t xml:space="preserve">el propio </w:t>
      </w:r>
      <w:r w:rsidRPr="00536AB0">
        <w:rPr>
          <w:rFonts w:eastAsia="Times New Roman"/>
          <w:sz w:val="24"/>
          <w:lang w:eastAsia="es-ES"/>
        </w:rPr>
        <w:t>don Manuel</w:t>
      </w:r>
      <w:r>
        <w:rPr>
          <w:rFonts w:eastAsia="Times New Roman"/>
          <w:sz w:val="24"/>
          <w:lang w:eastAsia="es-ES"/>
        </w:rPr>
        <w:t>. Así es que, se puede decir, que tuvo una feliz carrera profesional culminada por el éxito y el reconocimiento.</w:t>
      </w:r>
    </w:p>
    <w:p w14:paraId="211432CB" w14:textId="77777777" w:rsidR="00405697" w:rsidRDefault="00405697" w:rsidP="00405697">
      <w:pPr>
        <w:jc w:val="both"/>
        <w:rPr>
          <w:rFonts w:eastAsia="Times New Roman"/>
          <w:sz w:val="24"/>
          <w:lang w:eastAsia="es-ES"/>
        </w:rPr>
      </w:pPr>
      <w:r>
        <w:rPr>
          <w:rFonts w:eastAsia="Times New Roman"/>
          <w:sz w:val="24"/>
          <w:lang w:eastAsia="es-ES"/>
        </w:rPr>
        <w:t xml:space="preserve">No puede decirse lo mismo de quienes, como Enrique, tuvieron que afrontar esa pantomima de juicio y apellidado sumarísimo. </w:t>
      </w:r>
    </w:p>
    <w:p w14:paraId="1EED6A1E" w14:textId="77777777" w:rsidR="00405697" w:rsidRDefault="00405697" w:rsidP="00405697">
      <w:pPr>
        <w:jc w:val="both"/>
        <w:rPr>
          <w:rFonts w:eastAsia="Times New Roman"/>
          <w:sz w:val="24"/>
          <w:lang w:eastAsia="es-ES"/>
        </w:rPr>
      </w:pPr>
      <w:r>
        <w:rPr>
          <w:rFonts w:eastAsia="Times New Roman"/>
          <w:sz w:val="24"/>
          <w:lang w:eastAsia="es-ES"/>
        </w:rPr>
        <w:t>A partir de ese momento se ponía en marcha todo un sistema jurídico, dirigido fundamentalmente, a crear una falsa imagen de legalidad a las condenas que se iban a promulgar.</w:t>
      </w:r>
    </w:p>
    <w:p w14:paraId="150CC89C" w14:textId="77777777" w:rsidR="00405697" w:rsidRDefault="00405697" w:rsidP="00405697">
      <w:pPr>
        <w:jc w:val="both"/>
        <w:rPr>
          <w:rFonts w:eastAsia="Times New Roman"/>
          <w:sz w:val="16"/>
          <w:szCs w:val="16"/>
          <w:lang w:eastAsia="es-ES"/>
        </w:rPr>
      </w:pPr>
      <w:r w:rsidRPr="00F4275D">
        <w:rPr>
          <w:rFonts w:eastAsia="Times New Roman"/>
          <w:sz w:val="24"/>
          <w:lang w:eastAsia="es-ES"/>
        </w:rPr>
        <w:t>El Código de Justicia Militar de 1890</w:t>
      </w:r>
      <w:r>
        <w:rPr>
          <w:rFonts w:eastAsia="Times New Roman"/>
          <w:sz w:val="24"/>
          <w:lang w:eastAsia="es-ES"/>
        </w:rPr>
        <w:t xml:space="preserve"> que, como ya queda dicho, fue la base de las actuaciones de las autoridades judiciales, establecía dos tipos de procesamiento </w:t>
      </w:r>
      <w:r w:rsidRPr="00F4275D">
        <w:rPr>
          <w:rFonts w:eastAsia="Times New Roman"/>
          <w:sz w:val="16"/>
          <w:szCs w:val="16"/>
          <w:lang w:eastAsia="es-ES"/>
        </w:rPr>
        <w:t>(</w:t>
      </w:r>
      <w:r>
        <w:rPr>
          <w:rStyle w:val="Refdenotaalpie"/>
          <w:rFonts w:eastAsia="Times New Roman"/>
          <w:sz w:val="16"/>
          <w:szCs w:val="16"/>
          <w:lang w:eastAsia="es-ES"/>
        </w:rPr>
        <w:footnoteReference w:id="5"/>
      </w:r>
      <w:r w:rsidRPr="00F4275D">
        <w:rPr>
          <w:rFonts w:eastAsia="Times New Roman"/>
          <w:sz w:val="16"/>
          <w:szCs w:val="16"/>
          <w:lang w:eastAsia="es-ES"/>
        </w:rPr>
        <w:t>)</w:t>
      </w:r>
    </w:p>
    <w:p w14:paraId="2678B5A1" w14:textId="77777777" w:rsidR="00405697" w:rsidRPr="00F4275D" w:rsidRDefault="00405697" w:rsidP="00405697">
      <w:pPr>
        <w:pStyle w:val="Prrafodelista"/>
        <w:numPr>
          <w:ilvl w:val="0"/>
          <w:numId w:val="2"/>
        </w:numPr>
        <w:jc w:val="both"/>
        <w:rPr>
          <w:rFonts w:eastAsia="Times New Roman"/>
          <w:sz w:val="24"/>
          <w:lang w:eastAsia="es-ES"/>
        </w:rPr>
      </w:pPr>
      <w:r w:rsidRPr="00F4275D">
        <w:rPr>
          <w:rFonts w:eastAsia="Times New Roman"/>
          <w:sz w:val="24"/>
          <w:lang w:eastAsia="es-ES"/>
        </w:rPr>
        <w:t>Previo</w:t>
      </w:r>
    </w:p>
    <w:p w14:paraId="7FDCBAB9" w14:textId="77777777" w:rsidR="00405697" w:rsidRPr="0085594D" w:rsidRDefault="00405697" w:rsidP="00405697">
      <w:pPr>
        <w:pStyle w:val="Prrafodelista"/>
        <w:numPr>
          <w:ilvl w:val="0"/>
          <w:numId w:val="2"/>
        </w:numPr>
        <w:jc w:val="both"/>
        <w:rPr>
          <w:rFonts w:eastAsia="Times New Roman"/>
          <w:sz w:val="24"/>
          <w:lang w:eastAsia="es-ES"/>
        </w:rPr>
      </w:pPr>
      <w:r w:rsidRPr="0085594D">
        <w:rPr>
          <w:rFonts w:eastAsia="Times New Roman"/>
          <w:sz w:val="24"/>
          <w:lang w:eastAsia="es-ES"/>
        </w:rPr>
        <w:t>Criminal</w:t>
      </w:r>
    </w:p>
    <w:p w14:paraId="51F45839" w14:textId="77777777" w:rsidR="00405697" w:rsidRPr="0085594D" w:rsidRDefault="00405697" w:rsidP="00405697">
      <w:pPr>
        <w:pStyle w:val="Prrafodelista"/>
        <w:numPr>
          <w:ilvl w:val="1"/>
          <w:numId w:val="2"/>
        </w:numPr>
        <w:jc w:val="both"/>
        <w:rPr>
          <w:rFonts w:eastAsia="Times New Roman"/>
          <w:sz w:val="24"/>
          <w:lang w:eastAsia="es-ES"/>
        </w:rPr>
      </w:pPr>
      <w:r w:rsidRPr="0085594D">
        <w:rPr>
          <w:rFonts w:eastAsia="Times New Roman"/>
          <w:sz w:val="24"/>
          <w:lang w:eastAsia="es-ES"/>
        </w:rPr>
        <w:t>Ordinario</w:t>
      </w:r>
    </w:p>
    <w:p w14:paraId="25E956DA" w14:textId="77777777" w:rsidR="00405697" w:rsidRPr="0085594D" w:rsidRDefault="00405697" w:rsidP="00405697">
      <w:pPr>
        <w:pStyle w:val="Prrafodelista"/>
        <w:numPr>
          <w:ilvl w:val="1"/>
          <w:numId w:val="2"/>
        </w:numPr>
        <w:jc w:val="both"/>
        <w:rPr>
          <w:rFonts w:eastAsia="Times New Roman"/>
          <w:sz w:val="24"/>
          <w:lang w:eastAsia="es-ES"/>
        </w:rPr>
      </w:pPr>
      <w:r w:rsidRPr="0085594D">
        <w:rPr>
          <w:rFonts w:eastAsia="Times New Roman"/>
          <w:sz w:val="24"/>
          <w:lang w:eastAsia="es-ES"/>
        </w:rPr>
        <w:t>Sumarísimo (Inquisitorial)</w:t>
      </w:r>
    </w:p>
    <w:p w14:paraId="03B5C25D" w14:textId="77777777" w:rsidR="00405697" w:rsidRPr="0085594D" w:rsidRDefault="00405697" w:rsidP="00405697">
      <w:pPr>
        <w:pStyle w:val="Prrafodelista"/>
        <w:numPr>
          <w:ilvl w:val="1"/>
          <w:numId w:val="2"/>
        </w:numPr>
        <w:jc w:val="both"/>
        <w:rPr>
          <w:rFonts w:eastAsia="Times New Roman"/>
          <w:sz w:val="24"/>
          <w:lang w:eastAsia="es-ES"/>
        </w:rPr>
      </w:pPr>
      <w:r w:rsidRPr="0085594D">
        <w:rPr>
          <w:rFonts w:eastAsia="Times New Roman"/>
          <w:sz w:val="24"/>
          <w:lang w:eastAsia="es-ES"/>
        </w:rPr>
        <w:t>Sumarísimo de Urgencia (Inquisitorial)</w:t>
      </w:r>
    </w:p>
    <w:p w14:paraId="6EEE231A" w14:textId="77777777" w:rsidR="00405697" w:rsidRPr="0085594D" w:rsidRDefault="00405697" w:rsidP="00405697">
      <w:pPr>
        <w:jc w:val="both"/>
        <w:rPr>
          <w:rFonts w:eastAsia="Times New Roman"/>
          <w:sz w:val="24"/>
          <w:lang w:eastAsia="es-ES"/>
        </w:rPr>
      </w:pPr>
      <w:r>
        <w:rPr>
          <w:rFonts w:eastAsia="Times New Roman"/>
          <w:sz w:val="24"/>
          <w:lang w:eastAsia="es-ES"/>
        </w:rPr>
        <w:t>Siendo estos dos últimos, los “preferidos” por los tribunales.</w:t>
      </w:r>
    </w:p>
    <w:p w14:paraId="40C59AED" w14:textId="77777777" w:rsidR="00405697" w:rsidRPr="0085594D" w:rsidRDefault="00405697" w:rsidP="00405697">
      <w:pPr>
        <w:jc w:val="both"/>
        <w:rPr>
          <w:rFonts w:eastAsia="Times New Roman"/>
          <w:sz w:val="24"/>
          <w:lang w:eastAsia="es-ES"/>
        </w:rPr>
      </w:pPr>
      <w:r w:rsidRPr="0085594D">
        <w:rPr>
          <w:rFonts w:eastAsia="Times New Roman"/>
          <w:sz w:val="24"/>
          <w:lang w:eastAsia="es-ES"/>
        </w:rPr>
        <w:t>El Procedimiento Sumarísimo</w:t>
      </w:r>
      <w:r>
        <w:rPr>
          <w:rFonts w:eastAsia="Times New Roman"/>
          <w:sz w:val="24"/>
          <w:lang w:eastAsia="es-ES"/>
        </w:rPr>
        <w:t>,</w:t>
      </w:r>
      <w:r w:rsidRPr="0085594D">
        <w:rPr>
          <w:rFonts w:eastAsia="Times New Roman"/>
          <w:sz w:val="24"/>
          <w:lang w:eastAsia="es-ES"/>
        </w:rPr>
        <w:t xml:space="preserve"> </w:t>
      </w:r>
      <w:r>
        <w:rPr>
          <w:rFonts w:eastAsia="Times New Roman"/>
          <w:sz w:val="24"/>
          <w:lang w:eastAsia="es-ES"/>
        </w:rPr>
        <w:t>s</w:t>
      </w:r>
      <w:r w:rsidRPr="0085594D">
        <w:rPr>
          <w:rFonts w:eastAsia="Times New Roman"/>
          <w:sz w:val="24"/>
          <w:lang w:eastAsia="es-ES"/>
        </w:rPr>
        <w:t>e inicia con motivo de “</w:t>
      </w:r>
      <w:proofErr w:type="spellStart"/>
      <w:r w:rsidRPr="0085594D">
        <w:rPr>
          <w:rFonts w:eastAsia="Times New Roman"/>
          <w:sz w:val="24"/>
          <w:lang w:eastAsia="es-ES"/>
        </w:rPr>
        <w:t>notitia</w:t>
      </w:r>
      <w:proofErr w:type="spellEnd"/>
      <w:r w:rsidRPr="0085594D">
        <w:rPr>
          <w:rFonts w:eastAsia="Times New Roman"/>
          <w:sz w:val="24"/>
          <w:lang w:eastAsia="es-ES"/>
        </w:rPr>
        <w:t xml:space="preserve"> </w:t>
      </w:r>
      <w:proofErr w:type="spellStart"/>
      <w:r w:rsidRPr="0085594D">
        <w:rPr>
          <w:rFonts w:eastAsia="Times New Roman"/>
          <w:sz w:val="24"/>
          <w:lang w:eastAsia="es-ES"/>
        </w:rPr>
        <w:t>Criminis</w:t>
      </w:r>
      <w:proofErr w:type="spellEnd"/>
      <w:r w:rsidRPr="0085594D">
        <w:rPr>
          <w:rFonts w:eastAsia="Times New Roman"/>
          <w:sz w:val="24"/>
          <w:lang w:eastAsia="es-ES"/>
        </w:rPr>
        <w:t>” es decir:</w:t>
      </w:r>
    </w:p>
    <w:p w14:paraId="77D540F3" w14:textId="77777777" w:rsidR="00405697" w:rsidRPr="002358C3" w:rsidRDefault="00405697" w:rsidP="00405697">
      <w:pPr>
        <w:pStyle w:val="Prrafodelista"/>
        <w:widowControl w:val="0"/>
        <w:numPr>
          <w:ilvl w:val="0"/>
          <w:numId w:val="3"/>
        </w:numPr>
        <w:tabs>
          <w:tab w:val="left" w:pos="688"/>
        </w:tabs>
        <w:autoSpaceDE w:val="0"/>
        <w:autoSpaceDN w:val="0"/>
        <w:spacing w:before="10" w:after="0" w:line="240" w:lineRule="auto"/>
        <w:rPr>
          <w:color w:val="231F20"/>
          <w:sz w:val="24"/>
        </w:rPr>
      </w:pPr>
      <w:r w:rsidRPr="0085594D">
        <w:rPr>
          <w:color w:val="231F20"/>
          <w:sz w:val="24"/>
        </w:rPr>
        <w:t>Denuncia</w:t>
      </w:r>
    </w:p>
    <w:p w14:paraId="4B2995B9" w14:textId="77777777" w:rsidR="00405697" w:rsidRPr="0085594D" w:rsidRDefault="00405697" w:rsidP="00405697">
      <w:pPr>
        <w:pStyle w:val="Prrafodelista"/>
        <w:widowControl w:val="0"/>
        <w:numPr>
          <w:ilvl w:val="0"/>
          <w:numId w:val="3"/>
        </w:numPr>
        <w:tabs>
          <w:tab w:val="left" w:pos="688"/>
        </w:tabs>
        <w:autoSpaceDE w:val="0"/>
        <w:autoSpaceDN w:val="0"/>
        <w:spacing w:before="10" w:after="0" w:line="240" w:lineRule="auto"/>
        <w:rPr>
          <w:color w:val="231F20"/>
          <w:sz w:val="24"/>
        </w:rPr>
      </w:pPr>
      <w:r w:rsidRPr="0085594D">
        <w:rPr>
          <w:color w:val="231F20"/>
          <w:sz w:val="24"/>
        </w:rPr>
        <w:t>Atestado</w:t>
      </w:r>
    </w:p>
    <w:p w14:paraId="1561C655" w14:textId="77777777" w:rsidR="00405697" w:rsidRPr="0085594D" w:rsidRDefault="00405697" w:rsidP="00405697">
      <w:pPr>
        <w:pStyle w:val="Prrafodelista"/>
        <w:widowControl w:val="0"/>
        <w:numPr>
          <w:ilvl w:val="0"/>
          <w:numId w:val="3"/>
        </w:numPr>
        <w:tabs>
          <w:tab w:val="left" w:pos="688"/>
        </w:tabs>
        <w:autoSpaceDE w:val="0"/>
        <w:autoSpaceDN w:val="0"/>
        <w:spacing w:before="10" w:after="0" w:line="240" w:lineRule="auto"/>
        <w:rPr>
          <w:color w:val="231F20"/>
          <w:sz w:val="24"/>
        </w:rPr>
      </w:pPr>
      <w:r w:rsidRPr="0085594D">
        <w:rPr>
          <w:color w:val="231F20"/>
          <w:sz w:val="24"/>
        </w:rPr>
        <w:t>Expediente incoado en los campos de detención de Presentados y prisiones.</w:t>
      </w:r>
    </w:p>
    <w:p w14:paraId="63026279" w14:textId="77777777" w:rsidR="00405697" w:rsidRPr="0085594D" w:rsidRDefault="00405697" w:rsidP="00405697">
      <w:pPr>
        <w:pStyle w:val="Prrafodelista"/>
        <w:widowControl w:val="0"/>
        <w:numPr>
          <w:ilvl w:val="0"/>
          <w:numId w:val="3"/>
        </w:numPr>
        <w:tabs>
          <w:tab w:val="left" w:pos="688"/>
        </w:tabs>
        <w:autoSpaceDE w:val="0"/>
        <w:autoSpaceDN w:val="0"/>
        <w:spacing w:before="10" w:after="0" w:line="240" w:lineRule="auto"/>
        <w:rPr>
          <w:color w:val="231F20"/>
          <w:sz w:val="24"/>
        </w:rPr>
      </w:pPr>
      <w:r w:rsidRPr="0085594D">
        <w:rPr>
          <w:color w:val="231F20"/>
          <w:sz w:val="24"/>
        </w:rPr>
        <w:t>Expediente de depuración.</w:t>
      </w:r>
    </w:p>
    <w:p w14:paraId="6D88B39D" w14:textId="77777777" w:rsidR="00405697" w:rsidRDefault="00405697" w:rsidP="00405697">
      <w:pPr>
        <w:spacing w:before="7" w:line="247" w:lineRule="auto"/>
        <w:ind w:left="119" w:right="52" w:firstLine="397"/>
        <w:rPr>
          <w:rFonts w:eastAsia="Times New Roman"/>
          <w:sz w:val="24"/>
          <w:lang w:eastAsia="es-ES"/>
        </w:rPr>
      </w:pPr>
    </w:p>
    <w:p w14:paraId="305F9150" w14:textId="77777777" w:rsidR="00405697" w:rsidRDefault="00405697" w:rsidP="00405697">
      <w:pPr>
        <w:jc w:val="both"/>
        <w:rPr>
          <w:rFonts w:eastAsia="Times New Roman"/>
          <w:sz w:val="24"/>
          <w:lang w:eastAsia="es-ES"/>
        </w:rPr>
      </w:pPr>
      <w:r>
        <w:rPr>
          <w:rFonts w:eastAsia="Times New Roman"/>
          <w:sz w:val="24"/>
          <w:lang w:eastAsia="es-ES"/>
        </w:rPr>
        <w:t xml:space="preserve">Cabe señalar que por “procedimiento inquisitorial” se entiende </w:t>
      </w:r>
      <w:r w:rsidRPr="00BA7205">
        <w:rPr>
          <w:rFonts w:eastAsia="Times New Roman"/>
          <w:sz w:val="24"/>
          <w:lang w:eastAsia="es-ES"/>
        </w:rPr>
        <w:t>cuando la carga recae en la acusación, es decir</w:t>
      </w:r>
      <w:r>
        <w:rPr>
          <w:rFonts w:eastAsia="Times New Roman"/>
          <w:sz w:val="24"/>
          <w:lang w:eastAsia="es-ES"/>
        </w:rPr>
        <w:t>,</w:t>
      </w:r>
      <w:r w:rsidRPr="00BA7205">
        <w:rPr>
          <w:rFonts w:eastAsia="Times New Roman"/>
          <w:sz w:val="24"/>
          <w:lang w:eastAsia="es-ES"/>
        </w:rPr>
        <w:t xml:space="preserve"> de las dos partes que intervienen en una causa</w:t>
      </w:r>
      <w:r>
        <w:rPr>
          <w:rFonts w:eastAsia="Times New Roman"/>
          <w:sz w:val="24"/>
          <w:lang w:eastAsia="es-ES"/>
        </w:rPr>
        <w:t>,</w:t>
      </w:r>
      <w:r w:rsidRPr="00BA7205">
        <w:rPr>
          <w:rFonts w:eastAsia="Times New Roman"/>
          <w:sz w:val="24"/>
          <w:lang w:eastAsia="es-ES"/>
        </w:rPr>
        <w:t xml:space="preserve"> predomina la acusación sobre la defensa.</w:t>
      </w:r>
    </w:p>
    <w:p w14:paraId="5D566687" w14:textId="77777777" w:rsidR="00405697" w:rsidRDefault="00405697" w:rsidP="00405697">
      <w:pPr>
        <w:jc w:val="both"/>
        <w:rPr>
          <w:rFonts w:eastAsia="Times New Roman"/>
          <w:sz w:val="24"/>
          <w:lang w:eastAsia="es-ES"/>
        </w:rPr>
      </w:pPr>
      <w:r>
        <w:rPr>
          <w:rFonts w:eastAsia="Times New Roman"/>
          <w:sz w:val="24"/>
          <w:lang w:eastAsia="es-ES"/>
        </w:rPr>
        <w:t>Sería prolijo detallar exhaustivamente los procedimientos estrictamente procesales que se llevaban a cabo en cualquiera de sus modalidades, aspectos éstos, que son mucho más del interés de los iniciados en estos asuntos.</w:t>
      </w:r>
    </w:p>
    <w:p w14:paraId="56A83949" w14:textId="77777777" w:rsidR="00405697" w:rsidRPr="00BA7205" w:rsidRDefault="00405697" w:rsidP="00405697">
      <w:pPr>
        <w:jc w:val="both"/>
        <w:rPr>
          <w:rFonts w:eastAsia="Times New Roman"/>
          <w:sz w:val="24"/>
          <w:lang w:eastAsia="es-ES"/>
        </w:rPr>
      </w:pPr>
      <w:r>
        <w:rPr>
          <w:rFonts w:eastAsia="Times New Roman"/>
          <w:sz w:val="24"/>
          <w:lang w:eastAsia="es-ES"/>
        </w:rPr>
        <w:t>Sin embargo, sí que nos vamos a detener algo más en otros aspectos relacionados con las posibilidades reales de defensa que tenían los acusados.</w:t>
      </w:r>
    </w:p>
    <w:p w14:paraId="0EAA831C" w14:textId="77777777" w:rsidR="00405697" w:rsidRDefault="00405697" w:rsidP="00405697">
      <w:pPr>
        <w:jc w:val="both"/>
        <w:rPr>
          <w:rFonts w:eastAsia="Times New Roman"/>
          <w:sz w:val="24"/>
          <w:lang w:eastAsia="es-ES"/>
        </w:rPr>
      </w:pPr>
      <w:r>
        <w:rPr>
          <w:rFonts w:eastAsia="Times New Roman"/>
          <w:sz w:val="24"/>
          <w:lang w:eastAsia="es-ES"/>
        </w:rPr>
        <w:lastRenderedPageBreak/>
        <w:t xml:space="preserve">En primer lugar, nos detenemos en la reflexión que sobre el tema de la defensa del procesado establece </w:t>
      </w:r>
      <w:r w:rsidRPr="008502AD">
        <w:rPr>
          <w:rFonts w:eastAsia="Times New Roman"/>
          <w:sz w:val="24"/>
          <w:lang w:eastAsia="es-ES"/>
        </w:rPr>
        <w:t>Enrique Jiménez Asenjo</w:t>
      </w:r>
      <w:r>
        <w:rPr>
          <w:rFonts w:eastAsia="Times New Roman"/>
          <w:sz w:val="24"/>
          <w:lang w:eastAsia="es-ES"/>
        </w:rPr>
        <w:t xml:space="preserve">, en su </w:t>
      </w:r>
      <w:proofErr w:type="gramStart"/>
      <w:r>
        <w:rPr>
          <w:rFonts w:eastAsia="Times New Roman"/>
          <w:sz w:val="24"/>
          <w:lang w:eastAsia="es-ES"/>
        </w:rPr>
        <w:t xml:space="preserve">obra </w:t>
      </w:r>
      <w:r w:rsidRPr="008502AD">
        <w:rPr>
          <w:rFonts w:eastAsia="Times New Roman"/>
          <w:sz w:val="24"/>
          <w:lang w:eastAsia="es-ES"/>
        </w:rPr>
        <w:t xml:space="preserve"> </w:t>
      </w:r>
      <w:r>
        <w:rPr>
          <w:rFonts w:eastAsia="Times New Roman"/>
          <w:sz w:val="24"/>
          <w:lang w:eastAsia="es-ES"/>
        </w:rPr>
        <w:t>“</w:t>
      </w:r>
      <w:proofErr w:type="gramEnd"/>
      <w:r w:rsidRPr="008502AD">
        <w:rPr>
          <w:rFonts w:eastAsia="Times New Roman"/>
          <w:sz w:val="24"/>
          <w:lang w:eastAsia="es-ES"/>
        </w:rPr>
        <w:t xml:space="preserve">Defensa Procesal.  Nueva Enciclopedia </w:t>
      </w:r>
      <w:proofErr w:type="spellStart"/>
      <w:r w:rsidRPr="008502AD">
        <w:rPr>
          <w:rFonts w:eastAsia="Times New Roman"/>
          <w:sz w:val="24"/>
          <w:lang w:eastAsia="es-ES"/>
        </w:rPr>
        <w:t>Juridica</w:t>
      </w:r>
      <w:proofErr w:type="spellEnd"/>
      <w:r w:rsidRPr="008502AD">
        <w:rPr>
          <w:rFonts w:eastAsia="Times New Roman"/>
          <w:sz w:val="24"/>
          <w:lang w:eastAsia="es-ES"/>
        </w:rPr>
        <w:t xml:space="preserve"> Seix. Tomo VI. Barcelona, 1975. Pág.325.</w:t>
      </w:r>
      <w:r>
        <w:rPr>
          <w:rFonts w:eastAsia="Times New Roman"/>
          <w:sz w:val="24"/>
          <w:lang w:eastAsia="es-ES"/>
        </w:rPr>
        <w:t>”</w:t>
      </w:r>
    </w:p>
    <w:p w14:paraId="3E7477A1" w14:textId="77777777" w:rsidR="00405697" w:rsidRPr="008502AD" w:rsidRDefault="00405697" w:rsidP="00405697">
      <w:pPr>
        <w:jc w:val="both"/>
        <w:rPr>
          <w:rFonts w:eastAsia="Times New Roman"/>
          <w:i/>
          <w:color w:val="262626" w:themeColor="text1" w:themeTint="D9"/>
          <w:lang w:eastAsia="es-ES"/>
        </w:rPr>
      </w:pPr>
      <w:r>
        <w:rPr>
          <w:rFonts w:eastAsia="Times New Roman"/>
          <w:i/>
          <w:color w:val="262626" w:themeColor="text1" w:themeTint="D9"/>
          <w:lang w:eastAsia="es-ES"/>
        </w:rPr>
        <w:t>“</w:t>
      </w:r>
      <w:r w:rsidRPr="008502AD">
        <w:rPr>
          <w:rFonts w:eastAsia="Times New Roman"/>
          <w:i/>
          <w:color w:val="262626" w:themeColor="text1" w:themeTint="D9"/>
          <w:lang w:eastAsia="es-ES"/>
        </w:rPr>
        <w:t>La elección de abogado es el complemento del derecho a la defensa, pues una defensa interferida o mediatizada por el poder público es una defensa falsa e inexistente.</w:t>
      </w:r>
      <w:r>
        <w:rPr>
          <w:rFonts w:eastAsia="Times New Roman"/>
          <w:i/>
          <w:color w:val="262626" w:themeColor="text1" w:themeTint="D9"/>
          <w:lang w:eastAsia="es-ES"/>
        </w:rPr>
        <w:t>”</w:t>
      </w:r>
    </w:p>
    <w:p w14:paraId="151E26A5" w14:textId="6696FE6D" w:rsidR="00405697" w:rsidRDefault="00405697" w:rsidP="00405697">
      <w:pPr>
        <w:jc w:val="both"/>
        <w:rPr>
          <w:rFonts w:eastAsia="Times New Roman"/>
          <w:sz w:val="24"/>
          <w:lang w:eastAsia="es-ES"/>
        </w:rPr>
      </w:pPr>
      <w:r>
        <w:rPr>
          <w:rFonts w:eastAsia="Times New Roman"/>
          <w:sz w:val="24"/>
          <w:lang w:eastAsia="es-ES"/>
        </w:rPr>
        <w:t xml:space="preserve">Partiendo de esta premisa, las defensas en los Juicios Sumarísimos del Franquismo, no pueden ser calificadas como tales defensas, toda vez que entre las muchas conculcaciones y violaciones del derecho de gente, está precisamente el derecho de defensa y de libre elección de abogado, condiciones estas que no se daban, pues en realidad estaban interferidas y mediatizadas tanto por el poder público como por el militar, y por tanto, deben considerarse formalmente inoperantes, entre otras razones por romper con el esquema básico procesal, universalmente aceptado, de que ambas partes - acusación y defensa - deben disfrutar de la misma igualdad dialéctica y poder utilizar las mismas armas. Y como ya hemos comentado anteriormente, los juicios Inquisitoriales, se caracterizaban precisamente, por dar más importancia a la acusación que a la </w:t>
      </w:r>
      <w:r>
        <w:rPr>
          <w:rFonts w:eastAsia="Times New Roman"/>
          <w:sz w:val="24"/>
          <w:lang w:eastAsia="es-ES"/>
        </w:rPr>
        <w:t>defensa.</w:t>
      </w:r>
      <w:r w:rsidRPr="006D444B">
        <w:rPr>
          <w:rFonts w:eastAsia="Times New Roman"/>
          <w:sz w:val="16"/>
          <w:szCs w:val="16"/>
          <w:lang w:eastAsia="es-ES"/>
        </w:rPr>
        <w:t xml:space="preserve"> (</w:t>
      </w:r>
      <w:r>
        <w:rPr>
          <w:rStyle w:val="Refdenotaalpie"/>
          <w:rFonts w:eastAsia="Times New Roman"/>
          <w:sz w:val="16"/>
          <w:szCs w:val="16"/>
          <w:lang w:eastAsia="es-ES"/>
        </w:rPr>
        <w:footnoteReference w:id="6"/>
      </w:r>
      <w:r w:rsidRPr="006D444B">
        <w:rPr>
          <w:rFonts w:eastAsia="Times New Roman"/>
          <w:sz w:val="16"/>
          <w:szCs w:val="16"/>
          <w:lang w:eastAsia="es-ES"/>
        </w:rPr>
        <w:t>)</w:t>
      </w:r>
      <w:r>
        <w:rPr>
          <w:rFonts w:eastAsia="Times New Roman"/>
          <w:sz w:val="24"/>
          <w:lang w:eastAsia="es-ES"/>
        </w:rPr>
        <w:t xml:space="preserve"> </w:t>
      </w:r>
    </w:p>
    <w:p w14:paraId="200E54E6" w14:textId="671B0E81" w:rsidR="00E66676" w:rsidRDefault="00E66676" w:rsidP="00405697"/>
    <w:sectPr w:rsidR="00E666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83CF" w14:textId="77777777" w:rsidR="00490137" w:rsidRDefault="00490137" w:rsidP="00405697">
      <w:pPr>
        <w:spacing w:after="0" w:line="240" w:lineRule="auto"/>
      </w:pPr>
      <w:r>
        <w:separator/>
      </w:r>
    </w:p>
  </w:endnote>
  <w:endnote w:type="continuationSeparator" w:id="0">
    <w:p w14:paraId="65E6A484" w14:textId="77777777" w:rsidR="00490137" w:rsidRDefault="00490137" w:rsidP="0040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45B0" w14:textId="77777777" w:rsidR="00490137" w:rsidRDefault="00490137" w:rsidP="00405697">
      <w:pPr>
        <w:spacing w:after="0" w:line="240" w:lineRule="auto"/>
      </w:pPr>
      <w:r>
        <w:separator/>
      </w:r>
    </w:p>
  </w:footnote>
  <w:footnote w:type="continuationSeparator" w:id="0">
    <w:p w14:paraId="25321C5A" w14:textId="77777777" w:rsidR="00490137" w:rsidRDefault="00490137" w:rsidP="00405697">
      <w:pPr>
        <w:spacing w:after="0" w:line="240" w:lineRule="auto"/>
      </w:pPr>
      <w:r>
        <w:continuationSeparator/>
      </w:r>
    </w:p>
  </w:footnote>
  <w:footnote w:id="1">
    <w:p w14:paraId="37AE5D42" w14:textId="77777777" w:rsidR="00405697" w:rsidRPr="001F15D4" w:rsidRDefault="00405697" w:rsidP="00405697">
      <w:pPr>
        <w:pStyle w:val="Textonotapie"/>
        <w:rPr>
          <w:sz w:val="16"/>
          <w:szCs w:val="16"/>
          <w:lang w:val="es-ES_tradnl"/>
        </w:rPr>
      </w:pPr>
      <w:r w:rsidRPr="001F15D4">
        <w:rPr>
          <w:rStyle w:val="Refdenotaalpie"/>
          <w:sz w:val="16"/>
          <w:szCs w:val="16"/>
        </w:rPr>
        <w:footnoteRef/>
      </w:r>
      <w:r w:rsidRPr="001F15D4">
        <w:rPr>
          <w:sz w:val="16"/>
          <w:szCs w:val="16"/>
        </w:rPr>
        <w:t xml:space="preserve"> </w:t>
      </w:r>
      <w:r w:rsidRPr="001F15D4">
        <w:rPr>
          <w:sz w:val="16"/>
          <w:szCs w:val="16"/>
          <w:lang w:val="es-ES_tradnl"/>
        </w:rPr>
        <w:t>Julius Ruiz (La justicia de Franco)</w:t>
      </w:r>
    </w:p>
  </w:footnote>
  <w:footnote w:id="2">
    <w:p w14:paraId="373C7E80" w14:textId="77777777" w:rsidR="00405697" w:rsidRPr="00AB5CC0" w:rsidRDefault="00405697" w:rsidP="00405697">
      <w:pPr>
        <w:pStyle w:val="Textonotapie"/>
        <w:rPr>
          <w:sz w:val="16"/>
          <w:szCs w:val="16"/>
          <w:lang w:val="es-ES_tradnl"/>
        </w:rPr>
      </w:pPr>
      <w:r w:rsidRPr="00AB5CC0">
        <w:rPr>
          <w:rStyle w:val="Refdenotaalpie"/>
          <w:sz w:val="16"/>
          <w:szCs w:val="16"/>
        </w:rPr>
        <w:footnoteRef/>
      </w:r>
      <w:r w:rsidRPr="00AB5CC0">
        <w:rPr>
          <w:sz w:val="16"/>
          <w:szCs w:val="16"/>
        </w:rPr>
        <w:t xml:space="preserve"> </w:t>
      </w:r>
      <w:r w:rsidRPr="00AB5CC0">
        <w:rPr>
          <w:sz w:val="16"/>
          <w:szCs w:val="16"/>
          <w:lang w:val="es-ES_tradnl"/>
        </w:rPr>
        <w:t>Paul Preston (El holocausto español)</w:t>
      </w:r>
    </w:p>
  </w:footnote>
  <w:footnote w:id="3">
    <w:p w14:paraId="26CDBFF4" w14:textId="77777777" w:rsidR="00405697" w:rsidRPr="00097218" w:rsidRDefault="00405697" w:rsidP="00405697">
      <w:pPr>
        <w:pStyle w:val="Textonotapie"/>
        <w:rPr>
          <w:sz w:val="16"/>
          <w:szCs w:val="16"/>
          <w:lang w:val="es-ES_tradnl"/>
        </w:rPr>
      </w:pPr>
      <w:r w:rsidRPr="00097218">
        <w:rPr>
          <w:rStyle w:val="Refdenotaalpie"/>
          <w:sz w:val="16"/>
          <w:szCs w:val="16"/>
        </w:rPr>
        <w:footnoteRef/>
      </w:r>
      <w:r w:rsidRPr="00097218">
        <w:rPr>
          <w:sz w:val="16"/>
          <w:szCs w:val="16"/>
        </w:rPr>
        <w:t xml:space="preserve"> </w:t>
      </w:r>
      <w:r w:rsidRPr="00097218">
        <w:rPr>
          <w:sz w:val="16"/>
          <w:szCs w:val="16"/>
          <w:lang w:val="es-ES_tradnl"/>
        </w:rPr>
        <w:t>Eusebio González Padilla (La justicia militar en el primer franquismo)</w:t>
      </w:r>
    </w:p>
  </w:footnote>
  <w:footnote w:id="4">
    <w:p w14:paraId="3E49CA1C" w14:textId="77777777" w:rsidR="00405697" w:rsidRPr="008B2663" w:rsidRDefault="00405697" w:rsidP="00405697">
      <w:pPr>
        <w:pStyle w:val="Textonotapie"/>
        <w:rPr>
          <w:sz w:val="16"/>
          <w:szCs w:val="16"/>
          <w:lang w:val="es-ES_tradnl"/>
        </w:rPr>
      </w:pPr>
      <w:r w:rsidRPr="008B2663">
        <w:rPr>
          <w:rStyle w:val="Refdenotaalpie"/>
          <w:sz w:val="16"/>
          <w:szCs w:val="16"/>
        </w:rPr>
        <w:footnoteRef/>
      </w:r>
      <w:r w:rsidRPr="008B2663">
        <w:rPr>
          <w:sz w:val="16"/>
          <w:szCs w:val="16"/>
        </w:rPr>
        <w:t xml:space="preserve"> </w:t>
      </w:r>
      <w:r w:rsidRPr="008B2663">
        <w:rPr>
          <w:sz w:val="16"/>
          <w:szCs w:val="16"/>
          <w:lang w:val="es-ES_tradnl"/>
        </w:rPr>
        <w:t>Julius Ruiz (La justicia de Franco)</w:t>
      </w:r>
    </w:p>
  </w:footnote>
  <w:footnote w:id="5">
    <w:p w14:paraId="2FDB5F2D" w14:textId="77777777" w:rsidR="00405697" w:rsidRPr="00F4275D" w:rsidRDefault="00405697" w:rsidP="00405697">
      <w:pPr>
        <w:pStyle w:val="Textonotapie"/>
        <w:rPr>
          <w:sz w:val="16"/>
          <w:szCs w:val="16"/>
          <w:lang w:val="es-ES_tradnl"/>
        </w:rPr>
      </w:pPr>
      <w:r w:rsidRPr="00F4275D">
        <w:rPr>
          <w:rStyle w:val="Refdenotaalpie"/>
          <w:sz w:val="16"/>
          <w:szCs w:val="16"/>
        </w:rPr>
        <w:footnoteRef/>
      </w:r>
      <w:r w:rsidRPr="00F4275D">
        <w:rPr>
          <w:sz w:val="16"/>
          <w:szCs w:val="16"/>
        </w:rPr>
        <w:t xml:space="preserve"> </w:t>
      </w:r>
      <w:r w:rsidRPr="00F4275D">
        <w:rPr>
          <w:sz w:val="16"/>
          <w:szCs w:val="16"/>
          <w:lang w:val="es-ES_tradnl"/>
        </w:rPr>
        <w:t>Eusebio González Padilla (La justicia militar en el primer franquismo)</w:t>
      </w:r>
    </w:p>
  </w:footnote>
  <w:footnote w:id="6">
    <w:p w14:paraId="0DDF145F" w14:textId="77777777" w:rsidR="00405697" w:rsidRPr="006D444B" w:rsidRDefault="00405697" w:rsidP="00405697">
      <w:pPr>
        <w:pStyle w:val="Textonotapie"/>
        <w:rPr>
          <w:sz w:val="16"/>
          <w:szCs w:val="16"/>
          <w:lang w:val="es-ES_tradnl"/>
        </w:rPr>
      </w:pPr>
      <w:r w:rsidRPr="006D444B">
        <w:rPr>
          <w:rStyle w:val="Refdenotaalpie"/>
          <w:sz w:val="16"/>
          <w:szCs w:val="16"/>
        </w:rPr>
        <w:footnoteRef/>
      </w:r>
      <w:r w:rsidRPr="006D444B">
        <w:rPr>
          <w:sz w:val="16"/>
          <w:szCs w:val="16"/>
        </w:rPr>
        <w:t xml:space="preserve"> Juan José del Águila Torres (Las supuestas defensas en los consejos de guerra del Franquismo: 1936-45)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0BF"/>
    <w:multiLevelType w:val="hybridMultilevel"/>
    <w:tmpl w:val="3A205D1C"/>
    <w:lvl w:ilvl="0" w:tplc="315CEF5E">
      <w:start w:val="1"/>
      <w:numFmt w:val="decimal"/>
      <w:lvlText w:val="%1."/>
      <w:lvlJc w:val="left"/>
      <w:pPr>
        <w:ind w:left="720" w:hanging="360"/>
      </w:pPr>
    </w:lvl>
    <w:lvl w:ilvl="1" w:tplc="A0D22562" w:tentative="1">
      <w:start w:val="1"/>
      <w:numFmt w:val="lowerLetter"/>
      <w:lvlText w:val="%2."/>
      <w:lvlJc w:val="left"/>
      <w:pPr>
        <w:ind w:left="1440" w:hanging="360"/>
      </w:pPr>
    </w:lvl>
    <w:lvl w:ilvl="2" w:tplc="7EE4608A" w:tentative="1">
      <w:start w:val="1"/>
      <w:numFmt w:val="lowerRoman"/>
      <w:lvlText w:val="%3."/>
      <w:lvlJc w:val="right"/>
      <w:pPr>
        <w:ind w:left="2160" w:hanging="180"/>
      </w:pPr>
    </w:lvl>
    <w:lvl w:ilvl="3" w:tplc="E49A75E6" w:tentative="1">
      <w:start w:val="1"/>
      <w:numFmt w:val="decimal"/>
      <w:lvlText w:val="%4."/>
      <w:lvlJc w:val="left"/>
      <w:pPr>
        <w:ind w:left="2880" w:hanging="360"/>
      </w:pPr>
    </w:lvl>
    <w:lvl w:ilvl="4" w:tplc="8BB40AC0" w:tentative="1">
      <w:start w:val="1"/>
      <w:numFmt w:val="lowerLetter"/>
      <w:lvlText w:val="%5."/>
      <w:lvlJc w:val="left"/>
      <w:pPr>
        <w:ind w:left="3600" w:hanging="360"/>
      </w:pPr>
    </w:lvl>
    <w:lvl w:ilvl="5" w:tplc="E5709742" w:tentative="1">
      <w:start w:val="1"/>
      <w:numFmt w:val="lowerRoman"/>
      <w:lvlText w:val="%6."/>
      <w:lvlJc w:val="right"/>
      <w:pPr>
        <w:ind w:left="4320" w:hanging="180"/>
      </w:pPr>
    </w:lvl>
    <w:lvl w:ilvl="6" w:tplc="2DDCB73C" w:tentative="1">
      <w:start w:val="1"/>
      <w:numFmt w:val="decimal"/>
      <w:lvlText w:val="%7."/>
      <w:lvlJc w:val="left"/>
      <w:pPr>
        <w:ind w:left="5040" w:hanging="360"/>
      </w:pPr>
    </w:lvl>
    <w:lvl w:ilvl="7" w:tplc="2188E470" w:tentative="1">
      <w:start w:val="1"/>
      <w:numFmt w:val="lowerLetter"/>
      <w:lvlText w:val="%8."/>
      <w:lvlJc w:val="left"/>
      <w:pPr>
        <w:ind w:left="5760" w:hanging="360"/>
      </w:pPr>
    </w:lvl>
    <w:lvl w:ilvl="8" w:tplc="4894E662" w:tentative="1">
      <w:start w:val="1"/>
      <w:numFmt w:val="lowerRoman"/>
      <w:lvlText w:val="%9."/>
      <w:lvlJc w:val="right"/>
      <w:pPr>
        <w:ind w:left="6480" w:hanging="180"/>
      </w:pPr>
    </w:lvl>
  </w:abstractNum>
  <w:abstractNum w:abstractNumId="1" w15:restartNumberingAfterBreak="0">
    <w:nsid w:val="36261A05"/>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399D73E7"/>
    <w:multiLevelType w:val="hybridMultilevel"/>
    <w:tmpl w:val="8BE699BC"/>
    <w:lvl w:ilvl="0" w:tplc="8C24EA68">
      <w:start w:val="1"/>
      <w:numFmt w:val="bullet"/>
      <w:lvlText w:val=""/>
      <w:lvlJc w:val="left"/>
      <w:pPr>
        <w:ind w:left="1236" w:hanging="360"/>
      </w:pPr>
      <w:rPr>
        <w:rFonts w:ascii="Symbol" w:hAnsi="Symbol" w:hint="default"/>
      </w:rPr>
    </w:lvl>
    <w:lvl w:ilvl="1" w:tplc="4E28B2B4" w:tentative="1">
      <w:start w:val="1"/>
      <w:numFmt w:val="bullet"/>
      <w:lvlText w:val="o"/>
      <w:lvlJc w:val="left"/>
      <w:pPr>
        <w:ind w:left="1956" w:hanging="360"/>
      </w:pPr>
      <w:rPr>
        <w:rFonts w:ascii="Courier New" w:hAnsi="Courier New" w:cs="Courier New" w:hint="default"/>
      </w:rPr>
    </w:lvl>
    <w:lvl w:ilvl="2" w:tplc="10B8D1C0" w:tentative="1">
      <w:start w:val="1"/>
      <w:numFmt w:val="bullet"/>
      <w:lvlText w:val=""/>
      <w:lvlJc w:val="left"/>
      <w:pPr>
        <w:ind w:left="2676" w:hanging="360"/>
      </w:pPr>
      <w:rPr>
        <w:rFonts w:ascii="Wingdings" w:hAnsi="Wingdings" w:hint="default"/>
      </w:rPr>
    </w:lvl>
    <w:lvl w:ilvl="3" w:tplc="2DD25BBA" w:tentative="1">
      <w:start w:val="1"/>
      <w:numFmt w:val="bullet"/>
      <w:lvlText w:val=""/>
      <w:lvlJc w:val="left"/>
      <w:pPr>
        <w:ind w:left="3396" w:hanging="360"/>
      </w:pPr>
      <w:rPr>
        <w:rFonts w:ascii="Symbol" w:hAnsi="Symbol" w:hint="default"/>
      </w:rPr>
    </w:lvl>
    <w:lvl w:ilvl="4" w:tplc="71B003C4" w:tentative="1">
      <w:start w:val="1"/>
      <w:numFmt w:val="bullet"/>
      <w:lvlText w:val="o"/>
      <w:lvlJc w:val="left"/>
      <w:pPr>
        <w:ind w:left="4116" w:hanging="360"/>
      </w:pPr>
      <w:rPr>
        <w:rFonts w:ascii="Courier New" w:hAnsi="Courier New" w:cs="Courier New" w:hint="default"/>
      </w:rPr>
    </w:lvl>
    <w:lvl w:ilvl="5" w:tplc="E202F1BA" w:tentative="1">
      <w:start w:val="1"/>
      <w:numFmt w:val="bullet"/>
      <w:lvlText w:val=""/>
      <w:lvlJc w:val="left"/>
      <w:pPr>
        <w:ind w:left="4836" w:hanging="360"/>
      </w:pPr>
      <w:rPr>
        <w:rFonts w:ascii="Wingdings" w:hAnsi="Wingdings" w:hint="default"/>
      </w:rPr>
    </w:lvl>
    <w:lvl w:ilvl="6" w:tplc="F5FEB5A0" w:tentative="1">
      <w:start w:val="1"/>
      <w:numFmt w:val="bullet"/>
      <w:lvlText w:val=""/>
      <w:lvlJc w:val="left"/>
      <w:pPr>
        <w:ind w:left="5556" w:hanging="360"/>
      </w:pPr>
      <w:rPr>
        <w:rFonts w:ascii="Symbol" w:hAnsi="Symbol" w:hint="default"/>
      </w:rPr>
    </w:lvl>
    <w:lvl w:ilvl="7" w:tplc="6F42CF6E" w:tentative="1">
      <w:start w:val="1"/>
      <w:numFmt w:val="bullet"/>
      <w:lvlText w:val="o"/>
      <w:lvlJc w:val="left"/>
      <w:pPr>
        <w:ind w:left="6276" w:hanging="360"/>
      </w:pPr>
      <w:rPr>
        <w:rFonts w:ascii="Courier New" w:hAnsi="Courier New" w:cs="Courier New" w:hint="default"/>
      </w:rPr>
    </w:lvl>
    <w:lvl w:ilvl="8" w:tplc="29A4CC9A" w:tentative="1">
      <w:start w:val="1"/>
      <w:numFmt w:val="bullet"/>
      <w:lvlText w:val=""/>
      <w:lvlJc w:val="left"/>
      <w:pPr>
        <w:ind w:left="69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97"/>
    <w:rsid w:val="00405697"/>
    <w:rsid w:val="00490137"/>
    <w:rsid w:val="00E66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64D3"/>
  <w15:chartTrackingRefBased/>
  <w15:docId w15:val="{8514B185-7029-43C6-A45B-A16B5282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97"/>
    <w:pPr>
      <w:spacing w:after="200" w:line="276" w:lineRule="auto"/>
    </w:pPr>
    <w:rPr>
      <w:rFonts w:eastAsia="Calibri"/>
      <w:szCs w:val="24"/>
    </w:rPr>
  </w:style>
  <w:style w:type="paragraph" w:styleId="Ttulo1">
    <w:name w:val="heading 1"/>
    <w:basedOn w:val="Normal"/>
    <w:next w:val="Normal"/>
    <w:link w:val="Ttulo1Car"/>
    <w:uiPriority w:val="9"/>
    <w:qFormat/>
    <w:rsid w:val="00405697"/>
    <w:pPr>
      <w:keepNext/>
      <w:keepLines/>
      <w:spacing w:before="480" w:after="0"/>
      <w:outlineLvl w:val="0"/>
    </w:pPr>
    <w:rPr>
      <w:rFonts w:ascii="Cambria" w:eastAsia="Times New Roman" w:hAnsi="Cambria"/>
      <w:b/>
      <w:bCs/>
      <w:color w:val="365F91"/>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697"/>
    <w:rPr>
      <w:rFonts w:ascii="Cambria" w:eastAsia="Times New Roman" w:hAnsi="Cambria"/>
      <w:b/>
      <w:bCs/>
      <w:color w:val="365F91"/>
      <w:sz w:val="28"/>
      <w:szCs w:val="28"/>
      <w:lang w:eastAsia="es-ES"/>
    </w:rPr>
  </w:style>
  <w:style w:type="paragraph" w:styleId="Prrafodelista">
    <w:name w:val="List Paragraph"/>
    <w:basedOn w:val="Normal"/>
    <w:uiPriority w:val="34"/>
    <w:qFormat/>
    <w:rsid w:val="00405697"/>
    <w:pPr>
      <w:ind w:left="720"/>
      <w:contextualSpacing/>
    </w:pPr>
  </w:style>
  <w:style w:type="paragraph" w:styleId="Textonotapie">
    <w:name w:val="footnote text"/>
    <w:basedOn w:val="Normal"/>
    <w:link w:val="TextonotapieCar"/>
    <w:uiPriority w:val="99"/>
    <w:unhideWhenUsed/>
    <w:rsid w:val="00405697"/>
    <w:pPr>
      <w:spacing w:after="0" w:line="240" w:lineRule="auto"/>
    </w:pPr>
    <w:rPr>
      <w:sz w:val="20"/>
      <w:szCs w:val="20"/>
    </w:rPr>
  </w:style>
  <w:style w:type="character" w:customStyle="1" w:styleId="TextonotapieCar">
    <w:name w:val="Texto nota pie Car"/>
    <w:basedOn w:val="Fuentedeprrafopredeter"/>
    <w:link w:val="Textonotapie"/>
    <w:uiPriority w:val="99"/>
    <w:rsid w:val="00405697"/>
    <w:rPr>
      <w:rFonts w:eastAsia="Calibri"/>
      <w:sz w:val="20"/>
      <w:szCs w:val="20"/>
    </w:rPr>
  </w:style>
  <w:style w:type="character" w:styleId="Refdenotaalpie">
    <w:name w:val="footnote reference"/>
    <w:basedOn w:val="Fuentedeprrafopredeter"/>
    <w:uiPriority w:val="99"/>
    <w:semiHidden/>
    <w:unhideWhenUsed/>
    <w:rsid w:val="0040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7340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Usin</dc:creator>
  <cp:keywords/>
  <dc:description/>
  <cp:lastModifiedBy>Carlos Usin</cp:lastModifiedBy>
  <cp:revision>1</cp:revision>
  <dcterms:created xsi:type="dcterms:W3CDTF">2021-04-15T17:21:00Z</dcterms:created>
  <dcterms:modified xsi:type="dcterms:W3CDTF">2021-04-15T17:22:00Z</dcterms:modified>
</cp:coreProperties>
</file>